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0123B8" w:rsidRPr="00B17FF0" w:rsidRDefault="000123B8" w:rsidP="000123B8">
      <w:pPr>
        <w:jc w:val="center"/>
        <w:rPr>
          <w:sz w:val="24"/>
          <w:szCs w:val="24"/>
        </w:rPr>
      </w:pPr>
      <w:r w:rsidRPr="00B17FF0">
        <w:rPr>
          <w:noProof/>
          <w:sz w:val="24"/>
          <w:szCs w:val="24"/>
          <w:lang w:val="en-AU" w:eastAsia="en-AU"/>
        </w:rPr>
        <w:drawing>
          <wp:inline distT="0" distB="0" distL="0" distR="0" wp14:anchorId="2B6CE757" wp14:editId="07777777">
            <wp:extent cx="5274310" cy="1049339"/>
            <wp:effectExtent l="0" t="0" r="2540" b="0"/>
            <wp:docPr id="1" name="Picture 1" descr="Amazing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ing Vi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049339"/>
                    </a:xfrm>
                    <a:prstGeom prst="rect">
                      <a:avLst/>
                    </a:prstGeom>
                    <a:noFill/>
                    <a:ln>
                      <a:noFill/>
                    </a:ln>
                  </pic:spPr>
                </pic:pic>
              </a:graphicData>
            </a:graphic>
          </wp:inline>
        </w:drawing>
      </w:r>
    </w:p>
    <w:p w14:paraId="0A37501D" w14:textId="77777777" w:rsidR="000123B8" w:rsidRPr="00B17FF0" w:rsidRDefault="000123B8" w:rsidP="000123B8">
      <w:pPr>
        <w:rPr>
          <w:b/>
          <w:sz w:val="24"/>
          <w:szCs w:val="24"/>
        </w:rPr>
      </w:pPr>
    </w:p>
    <w:p w14:paraId="3D8210AD" w14:textId="7325D9CA" w:rsidR="3A33F2DF" w:rsidRDefault="3A33F2DF" w:rsidP="3A33F2DF">
      <w:pPr>
        <w:spacing w:afterAutospacing="1"/>
        <w:jc w:val="center"/>
        <w:rPr>
          <w:b/>
          <w:bCs/>
          <w:sz w:val="32"/>
          <w:szCs w:val="32"/>
        </w:rPr>
      </w:pPr>
      <w:r w:rsidRPr="3A33F2DF">
        <w:rPr>
          <w:b/>
          <w:bCs/>
          <w:sz w:val="32"/>
          <w:szCs w:val="32"/>
        </w:rPr>
        <w:t>Call for Papers</w:t>
      </w:r>
    </w:p>
    <w:p w14:paraId="2648C2F7" w14:textId="4740E472" w:rsidR="00DB7A81" w:rsidRPr="00DB7A81" w:rsidRDefault="00DB7A81" w:rsidP="009D57F0">
      <w:pPr>
        <w:spacing w:after="100" w:afterAutospacing="1"/>
        <w:jc w:val="center"/>
        <w:rPr>
          <w:b/>
          <w:bCs/>
          <w:sz w:val="32"/>
          <w:szCs w:val="32"/>
        </w:rPr>
      </w:pPr>
      <w:r>
        <w:rPr>
          <w:b/>
          <w:bCs/>
          <w:sz w:val="32"/>
          <w:szCs w:val="32"/>
        </w:rPr>
        <w:t>Special 202</w:t>
      </w:r>
      <w:r w:rsidR="00325281">
        <w:rPr>
          <w:b/>
          <w:bCs/>
          <w:sz w:val="32"/>
          <w:szCs w:val="32"/>
        </w:rPr>
        <w:t>1</w:t>
      </w:r>
      <w:r>
        <w:rPr>
          <w:b/>
          <w:bCs/>
          <w:sz w:val="32"/>
          <w:szCs w:val="32"/>
        </w:rPr>
        <w:t>(</w:t>
      </w:r>
      <w:r w:rsidR="00325281">
        <w:rPr>
          <w:b/>
          <w:bCs/>
          <w:sz w:val="32"/>
          <w:szCs w:val="32"/>
        </w:rPr>
        <w:t>1</w:t>
      </w:r>
      <w:r>
        <w:rPr>
          <w:b/>
          <w:bCs/>
          <w:sz w:val="32"/>
          <w:szCs w:val="32"/>
        </w:rPr>
        <w:t xml:space="preserve">) Issue of </w:t>
      </w:r>
      <w:r w:rsidR="00964468" w:rsidRPr="00333F33">
        <w:rPr>
          <w:b/>
          <w:bCs/>
          <w:i/>
          <w:sz w:val="32"/>
          <w:szCs w:val="32"/>
        </w:rPr>
        <w:t>Third Sector Review</w:t>
      </w:r>
      <w:r w:rsidR="00157762">
        <w:rPr>
          <w:b/>
          <w:bCs/>
          <w:i/>
          <w:sz w:val="32"/>
          <w:szCs w:val="32"/>
        </w:rPr>
        <w:t xml:space="preserve"> </w:t>
      </w:r>
      <w:r w:rsidR="00157762">
        <w:rPr>
          <w:b/>
          <w:bCs/>
          <w:sz w:val="32"/>
          <w:szCs w:val="32"/>
        </w:rPr>
        <w:t>o</w:t>
      </w:r>
      <w:r>
        <w:rPr>
          <w:b/>
          <w:bCs/>
          <w:sz w:val="32"/>
          <w:szCs w:val="32"/>
        </w:rPr>
        <w:t>n ‘</w:t>
      </w:r>
      <w:r w:rsidRPr="00DB7A81">
        <w:rPr>
          <w:b/>
          <w:bCs/>
          <w:sz w:val="32"/>
          <w:szCs w:val="32"/>
          <w:lang w:val="en-AU"/>
        </w:rPr>
        <w:t xml:space="preserve">Charities &amp; </w:t>
      </w:r>
      <w:r w:rsidR="00325281">
        <w:rPr>
          <w:b/>
          <w:bCs/>
          <w:sz w:val="32"/>
          <w:szCs w:val="32"/>
          <w:lang w:val="en-AU"/>
        </w:rPr>
        <w:t>Crises: Impacts and Responses</w:t>
      </w:r>
      <w:r w:rsidRPr="00DB7A81">
        <w:rPr>
          <w:b/>
          <w:bCs/>
          <w:sz w:val="32"/>
          <w:szCs w:val="32"/>
          <w:lang w:val="en-AU"/>
        </w:rPr>
        <w:t>’</w:t>
      </w:r>
    </w:p>
    <w:p w14:paraId="219B1929" w14:textId="7386A4B4" w:rsidR="00964468" w:rsidRPr="00B17FF0" w:rsidRDefault="3A33F2DF" w:rsidP="3A33F2DF">
      <w:pPr>
        <w:spacing w:before="100" w:beforeAutospacing="1" w:after="100" w:afterAutospacing="1"/>
        <w:rPr>
          <w:sz w:val="24"/>
          <w:szCs w:val="24"/>
        </w:rPr>
      </w:pPr>
      <w:r w:rsidRPr="3A33F2DF">
        <w:rPr>
          <w:i/>
          <w:iCs/>
          <w:sz w:val="24"/>
          <w:szCs w:val="24"/>
        </w:rPr>
        <w:t>Third Sector Review</w:t>
      </w:r>
      <w:r w:rsidRPr="3A33F2DF">
        <w:rPr>
          <w:sz w:val="24"/>
          <w:szCs w:val="24"/>
        </w:rPr>
        <w:t> </w:t>
      </w:r>
      <w:r w:rsidR="00583CB3" w:rsidRPr="00583CB3">
        <w:rPr>
          <w:sz w:val="24"/>
          <w:szCs w:val="24"/>
          <w:lang w:val="en-AU"/>
        </w:rPr>
        <w:t xml:space="preserve">is </w:t>
      </w:r>
      <w:r w:rsidR="00730C53">
        <w:rPr>
          <w:sz w:val="24"/>
          <w:szCs w:val="24"/>
          <w:lang w:val="en-AU"/>
        </w:rPr>
        <w:t xml:space="preserve">the peak interdisciplinary Australasian not-for-profit journal and is </w:t>
      </w:r>
      <w:r w:rsidR="00583CB3" w:rsidRPr="00583CB3">
        <w:rPr>
          <w:sz w:val="24"/>
          <w:szCs w:val="24"/>
          <w:lang w:val="en-AU"/>
        </w:rPr>
        <w:t>a</w:t>
      </w:r>
      <w:bookmarkStart w:id="0" w:name="_GoBack"/>
      <w:bookmarkEnd w:id="0"/>
      <w:r w:rsidR="00583CB3" w:rsidRPr="00583CB3">
        <w:rPr>
          <w:sz w:val="24"/>
          <w:szCs w:val="24"/>
          <w:lang w:val="en-AU"/>
        </w:rPr>
        <w:t xml:space="preserve"> recognised refereed journal for </w:t>
      </w:r>
      <w:r w:rsidR="00333F33">
        <w:rPr>
          <w:sz w:val="24"/>
          <w:szCs w:val="24"/>
          <w:lang w:val="en-AU"/>
        </w:rPr>
        <w:t>Australian ERA purposes</w:t>
      </w:r>
      <w:r w:rsidR="00583CB3" w:rsidRPr="00583CB3">
        <w:rPr>
          <w:sz w:val="24"/>
          <w:szCs w:val="24"/>
          <w:lang w:val="en-AU"/>
        </w:rPr>
        <w:t xml:space="preserve"> and for PBRF Evidence Portfolios in New Zealand.</w:t>
      </w:r>
    </w:p>
    <w:p w14:paraId="73BBA583" w14:textId="7FC7D7B2" w:rsidR="00DB7A81" w:rsidRDefault="00DB7A81" w:rsidP="006E035E">
      <w:pPr>
        <w:spacing w:before="100" w:beforeAutospacing="1"/>
        <w:rPr>
          <w:b/>
          <w:bCs/>
          <w:sz w:val="24"/>
          <w:szCs w:val="24"/>
        </w:rPr>
      </w:pPr>
      <w:r>
        <w:rPr>
          <w:b/>
          <w:bCs/>
          <w:sz w:val="24"/>
          <w:szCs w:val="24"/>
        </w:rPr>
        <w:t>Call for Papers</w:t>
      </w:r>
    </w:p>
    <w:p w14:paraId="30AAD0DC" w14:textId="4C37A47B" w:rsidR="00DB7A81" w:rsidRDefault="00325281" w:rsidP="006E035E">
      <w:pPr>
        <w:spacing w:before="100" w:beforeAutospacing="1"/>
        <w:rPr>
          <w:bCs/>
          <w:sz w:val="24"/>
          <w:szCs w:val="24"/>
          <w:lang w:val="en-AU"/>
        </w:rPr>
      </w:pPr>
      <w:r>
        <w:rPr>
          <w:bCs/>
          <w:sz w:val="24"/>
          <w:szCs w:val="24"/>
          <w:lang w:val="en-AU"/>
        </w:rPr>
        <w:t xml:space="preserve">Recent times have witnessed a series of profound crises: health and economic (COVID-19), social (mosque shootings in New Zealand and Black lives matter protests) and environmental (Australian bushfires). These crises are causing material disruption to the way that charities raise revenue and carry out their activities. This poses both challenges and opportunities for funders, charities and regulators. </w:t>
      </w:r>
      <w:r w:rsidR="00730C53">
        <w:rPr>
          <w:bCs/>
          <w:sz w:val="24"/>
          <w:szCs w:val="24"/>
          <w:lang w:val="en-AU"/>
        </w:rPr>
        <w:t>How have giving patterns changed in response? Is there a need for greater consumer protection for emotive crowd-funding responses to severe crises? How should managers of charities deal with the financial uncertainty and change?</w:t>
      </w:r>
    </w:p>
    <w:p w14:paraId="3B25EBB2" w14:textId="7B495F2B" w:rsidR="00DB7A81" w:rsidRDefault="00DB7A81" w:rsidP="006E035E">
      <w:pPr>
        <w:spacing w:before="100" w:beforeAutospacing="1"/>
        <w:rPr>
          <w:bCs/>
          <w:sz w:val="24"/>
          <w:szCs w:val="24"/>
          <w:lang w:val="en-AU"/>
        </w:rPr>
      </w:pPr>
      <w:r w:rsidRPr="00DB7A81">
        <w:rPr>
          <w:bCs/>
          <w:sz w:val="24"/>
          <w:szCs w:val="24"/>
          <w:lang w:val="en-AU"/>
        </w:rPr>
        <w:t>Articles</w:t>
      </w:r>
      <w:r>
        <w:rPr>
          <w:bCs/>
          <w:sz w:val="24"/>
          <w:szCs w:val="24"/>
          <w:lang w:val="en-AU"/>
        </w:rPr>
        <w:t xml:space="preserve"> examining charit</w:t>
      </w:r>
      <w:r w:rsidR="00325281">
        <w:rPr>
          <w:bCs/>
          <w:sz w:val="24"/>
          <w:szCs w:val="24"/>
          <w:lang w:val="en-AU"/>
        </w:rPr>
        <w:t>ies</w:t>
      </w:r>
      <w:r>
        <w:rPr>
          <w:bCs/>
          <w:sz w:val="24"/>
          <w:szCs w:val="24"/>
          <w:lang w:val="en-AU"/>
        </w:rPr>
        <w:t xml:space="preserve"> and </w:t>
      </w:r>
      <w:r w:rsidR="00325281">
        <w:rPr>
          <w:bCs/>
          <w:sz w:val="24"/>
          <w:szCs w:val="24"/>
          <w:lang w:val="en-AU"/>
        </w:rPr>
        <w:t xml:space="preserve">crises </w:t>
      </w:r>
      <w:r>
        <w:rPr>
          <w:bCs/>
          <w:sz w:val="24"/>
          <w:szCs w:val="24"/>
          <w:lang w:val="en-AU"/>
        </w:rPr>
        <w:t xml:space="preserve">– broadly conceived as set out above - are welcomed </w:t>
      </w:r>
      <w:r w:rsidRPr="00DB7A81">
        <w:rPr>
          <w:bCs/>
          <w:sz w:val="24"/>
          <w:szCs w:val="24"/>
          <w:lang w:val="en-AU"/>
        </w:rPr>
        <w:t>from different disciplinary perspectives</w:t>
      </w:r>
      <w:r>
        <w:rPr>
          <w:bCs/>
          <w:sz w:val="24"/>
          <w:szCs w:val="24"/>
          <w:lang w:val="en-AU"/>
        </w:rPr>
        <w:t xml:space="preserve"> including</w:t>
      </w:r>
      <w:r w:rsidRPr="00DB7A81">
        <w:rPr>
          <w:bCs/>
          <w:sz w:val="24"/>
          <w:szCs w:val="24"/>
          <w:lang w:val="en-AU"/>
        </w:rPr>
        <w:t xml:space="preserve"> </w:t>
      </w:r>
      <w:r>
        <w:rPr>
          <w:bCs/>
          <w:sz w:val="24"/>
          <w:szCs w:val="24"/>
          <w:lang w:val="en-AU"/>
        </w:rPr>
        <w:t xml:space="preserve">law, </w:t>
      </w:r>
      <w:r w:rsidR="00325281">
        <w:rPr>
          <w:bCs/>
          <w:sz w:val="24"/>
          <w:szCs w:val="24"/>
          <w:lang w:val="en-AU"/>
        </w:rPr>
        <w:t xml:space="preserve">psychology, </w:t>
      </w:r>
      <w:r>
        <w:rPr>
          <w:bCs/>
          <w:sz w:val="24"/>
          <w:szCs w:val="24"/>
          <w:lang w:val="en-AU"/>
        </w:rPr>
        <w:t>history</w:t>
      </w:r>
      <w:r w:rsidR="00730C53">
        <w:rPr>
          <w:bCs/>
          <w:sz w:val="24"/>
          <w:szCs w:val="24"/>
          <w:lang w:val="en-AU"/>
        </w:rPr>
        <w:t>,</w:t>
      </w:r>
      <w:r>
        <w:rPr>
          <w:bCs/>
          <w:sz w:val="24"/>
          <w:szCs w:val="24"/>
          <w:lang w:val="en-AU"/>
        </w:rPr>
        <w:t xml:space="preserve"> </w:t>
      </w:r>
      <w:r w:rsidRPr="00DB7A81">
        <w:rPr>
          <w:bCs/>
          <w:sz w:val="24"/>
          <w:szCs w:val="24"/>
          <w:lang w:val="en-AU"/>
        </w:rPr>
        <w:t>business</w:t>
      </w:r>
      <w:r w:rsidR="00730C53">
        <w:rPr>
          <w:bCs/>
          <w:sz w:val="24"/>
          <w:szCs w:val="24"/>
          <w:lang w:val="en-AU"/>
        </w:rPr>
        <w:t xml:space="preserve"> and political science</w:t>
      </w:r>
      <w:r>
        <w:rPr>
          <w:bCs/>
          <w:sz w:val="24"/>
          <w:szCs w:val="24"/>
          <w:lang w:val="en-AU"/>
        </w:rPr>
        <w:t>.</w:t>
      </w:r>
    </w:p>
    <w:p w14:paraId="3E3FA6D7" w14:textId="4375293D" w:rsidR="00DB7A81" w:rsidRPr="00DB7A81" w:rsidRDefault="00DB7A81" w:rsidP="006E035E">
      <w:pPr>
        <w:spacing w:before="100" w:beforeAutospacing="1"/>
        <w:rPr>
          <w:bCs/>
          <w:sz w:val="24"/>
          <w:szCs w:val="24"/>
        </w:rPr>
      </w:pPr>
      <w:r>
        <w:rPr>
          <w:bCs/>
          <w:sz w:val="24"/>
          <w:szCs w:val="24"/>
          <w:lang w:val="en-AU"/>
        </w:rPr>
        <w:t xml:space="preserve">Please submit your article to </w:t>
      </w:r>
      <w:hyperlink r:id="rId8" w:history="1">
        <w:r w:rsidRPr="00904365">
          <w:rPr>
            <w:rStyle w:val="Hyperlink"/>
            <w:bCs/>
            <w:sz w:val="24"/>
            <w:szCs w:val="24"/>
            <w:lang w:val="en-AU"/>
          </w:rPr>
          <w:t>editor@anztsr.org.au</w:t>
        </w:r>
      </w:hyperlink>
      <w:r>
        <w:rPr>
          <w:bCs/>
          <w:sz w:val="24"/>
          <w:szCs w:val="24"/>
          <w:lang w:val="en-AU"/>
        </w:rPr>
        <w:t xml:space="preserve"> by </w:t>
      </w:r>
      <w:r w:rsidR="00325281" w:rsidRPr="00325281">
        <w:rPr>
          <w:b/>
          <w:bCs/>
          <w:sz w:val="24"/>
          <w:szCs w:val="24"/>
          <w:lang w:val="en-AU"/>
        </w:rPr>
        <w:t>22 February 2021</w:t>
      </w:r>
      <w:r>
        <w:rPr>
          <w:bCs/>
          <w:sz w:val="24"/>
          <w:szCs w:val="24"/>
          <w:lang w:val="en-AU"/>
        </w:rPr>
        <w:t>.</w:t>
      </w:r>
    </w:p>
    <w:p w14:paraId="049C46E0" w14:textId="3932FA5D" w:rsidR="006E035E" w:rsidRPr="00B17FF0" w:rsidRDefault="006E035E" w:rsidP="006E035E">
      <w:pPr>
        <w:spacing w:before="100" w:beforeAutospacing="1"/>
        <w:rPr>
          <w:b/>
          <w:bCs/>
          <w:sz w:val="24"/>
          <w:szCs w:val="24"/>
        </w:rPr>
      </w:pPr>
      <w:r w:rsidRPr="00B17FF0">
        <w:rPr>
          <w:b/>
          <w:bCs/>
          <w:sz w:val="24"/>
          <w:szCs w:val="24"/>
        </w:rPr>
        <w:t>Aims and Scope</w:t>
      </w:r>
      <w:bookmarkStart w:id="1" w:name="Aims"/>
      <w:bookmarkEnd w:id="1"/>
    </w:p>
    <w:p w14:paraId="6DF363AC" w14:textId="00BBCEEC" w:rsidR="00964468" w:rsidRDefault="00333F33" w:rsidP="00F932BC">
      <w:pPr>
        <w:spacing w:before="100" w:beforeAutospacing="1" w:after="100" w:afterAutospacing="1"/>
        <w:rPr>
          <w:bCs/>
          <w:sz w:val="24"/>
          <w:szCs w:val="24"/>
        </w:rPr>
      </w:pPr>
      <w:r w:rsidRPr="00333F33">
        <w:rPr>
          <w:bCs/>
          <w:i/>
          <w:sz w:val="24"/>
          <w:szCs w:val="24"/>
        </w:rPr>
        <w:t>Third Sector Review</w:t>
      </w:r>
      <w:r>
        <w:rPr>
          <w:bCs/>
          <w:sz w:val="24"/>
          <w:szCs w:val="24"/>
        </w:rPr>
        <w:t xml:space="preserve"> </w:t>
      </w:r>
      <w:r w:rsidR="00B17FF0">
        <w:rPr>
          <w:bCs/>
          <w:sz w:val="24"/>
          <w:szCs w:val="24"/>
        </w:rPr>
        <w:t xml:space="preserve">has been </w:t>
      </w:r>
      <w:r w:rsidR="00964468" w:rsidRPr="00B17FF0">
        <w:rPr>
          <w:bCs/>
          <w:sz w:val="24"/>
          <w:szCs w:val="24"/>
        </w:rPr>
        <w:t>publish</w:t>
      </w:r>
      <w:r w:rsidR="00B17FF0">
        <w:rPr>
          <w:bCs/>
          <w:sz w:val="24"/>
          <w:szCs w:val="24"/>
        </w:rPr>
        <w:t>ing</w:t>
      </w:r>
      <w:r w:rsidR="00964468" w:rsidRPr="00B17FF0">
        <w:rPr>
          <w:bCs/>
          <w:sz w:val="24"/>
          <w:szCs w:val="24"/>
        </w:rPr>
        <w:t xml:space="preserve"> research</w:t>
      </w:r>
      <w:r w:rsidR="00B17FF0">
        <w:rPr>
          <w:bCs/>
          <w:sz w:val="24"/>
          <w:szCs w:val="24"/>
        </w:rPr>
        <w:t xml:space="preserve"> for 2</w:t>
      </w:r>
      <w:r>
        <w:rPr>
          <w:bCs/>
          <w:sz w:val="24"/>
          <w:szCs w:val="24"/>
        </w:rPr>
        <w:t>5</w:t>
      </w:r>
      <w:r w:rsidR="00B17FF0">
        <w:rPr>
          <w:bCs/>
          <w:sz w:val="24"/>
          <w:szCs w:val="24"/>
        </w:rPr>
        <w:t xml:space="preserve"> years. Articles</w:t>
      </w:r>
      <w:r w:rsidR="00964468" w:rsidRPr="00B17FF0">
        <w:rPr>
          <w:bCs/>
          <w:sz w:val="24"/>
          <w:szCs w:val="24"/>
        </w:rPr>
        <w:t xml:space="preserve"> address characteristics of the third sector or any aspect of its management, including governance, human resource management, the labour market, financial management, strategic management and managing change, community development, fund-raising, user rights, relations with government, legal issues</w:t>
      </w:r>
      <w:r>
        <w:rPr>
          <w:bCs/>
          <w:sz w:val="24"/>
          <w:szCs w:val="24"/>
        </w:rPr>
        <w:t xml:space="preserve"> and</w:t>
      </w:r>
      <w:r w:rsidR="00964468" w:rsidRPr="00B17FF0">
        <w:rPr>
          <w:bCs/>
          <w:sz w:val="24"/>
          <w:szCs w:val="24"/>
        </w:rPr>
        <w:t xml:space="preserve"> historical development</w:t>
      </w:r>
      <w:r>
        <w:rPr>
          <w:bCs/>
          <w:sz w:val="24"/>
          <w:szCs w:val="24"/>
        </w:rPr>
        <w:t>.</w:t>
      </w:r>
    </w:p>
    <w:p w14:paraId="6B9E77F5" w14:textId="315DC623" w:rsidR="00333F33" w:rsidRPr="00B17FF0" w:rsidRDefault="006E035E" w:rsidP="00333F33">
      <w:pPr>
        <w:spacing w:after="100" w:afterAutospacing="1"/>
        <w:rPr>
          <w:bCs/>
          <w:sz w:val="24"/>
          <w:szCs w:val="24"/>
        </w:rPr>
      </w:pPr>
      <w:r>
        <w:rPr>
          <w:bCs/>
          <w:sz w:val="24"/>
          <w:szCs w:val="24"/>
        </w:rPr>
        <w:t xml:space="preserve">The </w:t>
      </w:r>
      <w:r w:rsidRPr="006E035E">
        <w:rPr>
          <w:bCs/>
          <w:i/>
          <w:sz w:val="24"/>
          <w:szCs w:val="24"/>
        </w:rPr>
        <w:t>Review</w:t>
      </w:r>
      <w:r>
        <w:rPr>
          <w:bCs/>
          <w:sz w:val="24"/>
          <w:szCs w:val="24"/>
        </w:rPr>
        <w:t xml:space="preserve"> </w:t>
      </w:r>
      <w:r w:rsidR="00333F33" w:rsidRPr="00B17FF0">
        <w:rPr>
          <w:bCs/>
          <w:sz w:val="24"/>
          <w:szCs w:val="24"/>
        </w:rPr>
        <w:t>is explicitly cross-disciplinary, with both theoretical and empirical papers invited from a range of disciplines and fields of practice in the third sector. Critiques of existing theory or practice are invited. Contributions are encouraged from both practitioners and academics on third sector issues of interest to those in Australia, New Zealand and our Pacific neighbours.</w:t>
      </w:r>
      <w:r w:rsidR="00333F33">
        <w:rPr>
          <w:bCs/>
          <w:sz w:val="24"/>
          <w:szCs w:val="24"/>
        </w:rPr>
        <w:t xml:space="preserve"> While there must be some relevance to </w:t>
      </w:r>
      <w:r>
        <w:rPr>
          <w:bCs/>
          <w:sz w:val="24"/>
          <w:szCs w:val="24"/>
        </w:rPr>
        <w:t>those jurisdictions, papers on issues of global and regional relevance are strongly encouraged.</w:t>
      </w:r>
    </w:p>
    <w:p w14:paraId="03C7F2DD" w14:textId="19C520C1" w:rsidR="00333F33" w:rsidRPr="00333F33" w:rsidRDefault="00333F33" w:rsidP="00F932BC">
      <w:pPr>
        <w:spacing w:before="100" w:beforeAutospacing="1" w:after="100" w:afterAutospacing="1"/>
        <w:rPr>
          <w:b/>
          <w:bCs/>
          <w:sz w:val="24"/>
          <w:szCs w:val="24"/>
        </w:rPr>
      </w:pPr>
      <w:r w:rsidRPr="00333F33">
        <w:rPr>
          <w:b/>
          <w:bCs/>
          <w:sz w:val="24"/>
          <w:szCs w:val="24"/>
        </w:rPr>
        <w:lastRenderedPageBreak/>
        <w:t>Timing</w:t>
      </w:r>
    </w:p>
    <w:p w14:paraId="0B900BE2" w14:textId="67575BCA" w:rsidR="009D57F0" w:rsidRPr="00B17FF0" w:rsidRDefault="00333F33" w:rsidP="009D57F0">
      <w:pPr>
        <w:spacing w:before="100" w:beforeAutospacing="1" w:after="100" w:afterAutospacing="1"/>
        <w:rPr>
          <w:sz w:val="24"/>
          <w:szCs w:val="24"/>
        </w:rPr>
      </w:pPr>
      <w:r>
        <w:rPr>
          <w:bCs/>
          <w:sz w:val="24"/>
          <w:szCs w:val="24"/>
        </w:rPr>
        <w:t>The Review</w:t>
      </w:r>
      <w:r w:rsidR="00964468" w:rsidRPr="00B17FF0">
        <w:rPr>
          <w:bCs/>
          <w:sz w:val="24"/>
          <w:szCs w:val="24"/>
        </w:rPr>
        <w:t xml:space="preserve"> is published twice </w:t>
      </w:r>
      <w:r>
        <w:rPr>
          <w:bCs/>
          <w:sz w:val="24"/>
          <w:szCs w:val="24"/>
        </w:rPr>
        <w:t xml:space="preserve">a </w:t>
      </w:r>
      <w:r w:rsidR="00964468" w:rsidRPr="00B17FF0">
        <w:rPr>
          <w:bCs/>
          <w:sz w:val="24"/>
          <w:szCs w:val="24"/>
        </w:rPr>
        <w:t xml:space="preserve">year, in </w:t>
      </w:r>
      <w:r w:rsidR="00DB7A81">
        <w:rPr>
          <w:bCs/>
          <w:sz w:val="24"/>
          <w:szCs w:val="24"/>
        </w:rPr>
        <w:t>June</w:t>
      </w:r>
      <w:r w:rsidR="00964468" w:rsidRPr="00B17FF0">
        <w:rPr>
          <w:bCs/>
          <w:sz w:val="24"/>
          <w:szCs w:val="24"/>
        </w:rPr>
        <w:t xml:space="preserve"> and </w:t>
      </w:r>
      <w:r w:rsidR="00DB7A81">
        <w:rPr>
          <w:bCs/>
          <w:sz w:val="24"/>
          <w:szCs w:val="24"/>
        </w:rPr>
        <w:t>Decem</w:t>
      </w:r>
      <w:r w:rsidR="00964468" w:rsidRPr="00B17FF0">
        <w:rPr>
          <w:bCs/>
          <w:sz w:val="24"/>
          <w:szCs w:val="24"/>
        </w:rPr>
        <w:t>ber</w:t>
      </w:r>
      <w:r>
        <w:rPr>
          <w:bCs/>
          <w:sz w:val="24"/>
          <w:szCs w:val="24"/>
        </w:rPr>
        <w:t xml:space="preserve"> and submissions are welcomed on a rolling basis</w:t>
      </w:r>
      <w:r w:rsidR="00964468" w:rsidRPr="00B17FF0">
        <w:rPr>
          <w:bCs/>
          <w:sz w:val="24"/>
          <w:szCs w:val="24"/>
        </w:rPr>
        <w:t>. A subscription is part of ANZTSR’s membership benefits</w:t>
      </w:r>
      <w:r w:rsidR="009D57F0" w:rsidRPr="00B17FF0">
        <w:rPr>
          <w:bCs/>
          <w:sz w:val="24"/>
          <w:szCs w:val="24"/>
        </w:rPr>
        <w:t xml:space="preserve">. </w:t>
      </w:r>
      <w:r w:rsidR="00B17FF0" w:rsidRPr="00B17FF0">
        <w:rPr>
          <w:sz w:val="24"/>
          <w:szCs w:val="24"/>
        </w:rPr>
        <w:t>See:</w:t>
      </w:r>
      <w:r w:rsidR="009D57F0" w:rsidRPr="00B17FF0">
        <w:rPr>
          <w:sz w:val="24"/>
          <w:szCs w:val="24"/>
        </w:rPr>
        <w:t xml:space="preserve"> </w:t>
      </w:r>
      <w:hyperlink r:id="rId9" w:history="1">
        <w:r w:rsidR="009D57F0" w:rsidRPr="00B17FF0">
          <w:rPr>
            <w:rStyle w:val="Hyperlink"/>
            <w:sz w:val="24"/>
            <w:szCs w:val="24"/>
          </w:rPr>
          <w:t>http://www.anztsr.org.au/thi</w:t>
        </w:r>
        <w:r w:rsidR="009D57F0" w:rsidRPr="00B17FF0">
          <w:rPr>
            <w:rStyle w:val="Hyperlink"/>
            <w:sz w:val="24"/>
            <w:szCs w:val="24"/>
          </w:rPr>
          <w:t>r</w:t>
        </w:r>
        <w:r w:rsidR="009D57F0" w:rsidRPr="00B17FF0">
          <w:rPr>
            <w:rStyle w:val="Hyperlink"/>
            <w:sz w:val="24"/>
            <w:szCs w:val="24"/>
          </w:rPr>
          <w:t>d-sector-review/</w:t>
        </w:r>
      </w:hyperlink>
      <w:r w:rsidR="009D57F0" w:rsidRPr="00B17FF0">
        <w:rPr>
          <w:sz w:val="24"/>
          <w:szCs w:val="24"/>
        </w:rPr>
        <w:t xml:space="preserve"> </w:t>
      </w:r>
    </w:p>
    <w:p w14:paraId="72D75BDC" w14:textId="680F77C2" w:rsidR="00964468" w:rsidRPr="00B17FF0" w:rsidRDefault="00964468" w:rsidP="00B17FF0">
      <w:pPr>
        <w:rPr>
          <w:b/>
          <w:bCs/>
          <w:sz w:val="24"/>
          <w:szCs w:val="24"/>
        </w:rPr>
      </w:pPr>
      <w:r w:rsidRPr="00B17FF0">
        <w:rPr>
          <w:b/>
          <w:bCs/>
          <w:iCs/>
          <w:sz w:val="24"/>
          <w:szCs w:val="24"/>
        </w:rPr>
        <w:t xml:space="preserve">Editors (contact at </w:t>
      </w:r>
      <w:r w:rsidR="00333F33" w:rsidRPr="00333F33">
        <w:rPr>
          <w:b/>
          <w:bCs/>
          <w:iCs/>
          <w:sz w:val="24"/>
          <w:szCs w:val="24"/>
        </w:rPr>
        <w:t>editor@anztsr.org.au</w:t>
      </w:r>
      <w:r w:rsidRPr="00B17FF0">
        <w:rPr>
          <w:b/>
          <w:bCs/>
          <w:iCs/>
          <w:sz w:val="24"/>
          <w:szCs w:val="24"/>
        </w:rPr>
        <w:t>):  </w:t>
      </w:r>
    </w:p>
    <w:p w14:paraId="398222D0" w14:textId="77777777" w:rsidR="00333F33" w:rsidRPr="00333F33" w:rsidRDefault="0075157D" w:rsidP="00333F33">
      <w:pPr>
        <w:numPr>
          <w:ilvl w:val="0"/>
          <w:numId w:val="1"/>
        </w:numPr>
        <w:tabs>
          <w:tab w:val="clear" w:pos="720"/>
        </w:tabs>
        <w:spacing w:before="100" w:beforeAutospacing="1"/>
        <w:rPr>
          <w:bCs/>
          <w:i/>
          <w:iCs/>
          <w:sz w:val="24"/>
          <w:szCs w:val="24"/>
          <w:lang w:val="en-AU" w:eastAsia="zh-CN"/>
        </w:rPr>
      </w:pPr>
      <w:hyperlink r:id="rId10" w:tgtFrame="_blank" w:history="1">
        <w:r w:rsidR="00333F33" w:rsidRPr="00333F33">
          <w:rPr>
            <w:rStyle w:val="Hyperlink"/>
            <w:b/>
            <w:bCs/>
            <w:i/>
            <w:iCs/>
            <w:sz w:val="24"/>
            <w:szCs w:val="24"/>
            <w:lang w:val="en-AU" w:eastAsia="zh-CN"/>
          </w:rPr>
          <w:t>Dr Fiona McGaughey </w:t>
        </w:r>
      </w:hyperlink>
      <w:r w:rsidR="00333F33" w:rsidRPr="00333F33">
        <w:rPr>
          <w:bCs/>
          <w:i/>
          <w:iCs/>
          <w:sz w:val="24"/>
          <w:szCs w:val="24"/>
          <w:lang w:val="en-AU" w:eastAsia="zh-CN"/>
        </w:rPr>
        <w:t>– (Law School, University of Western Australia)</w:t>
      </w:r>
    </w:p>
    <w:p w14:paraId="507E4DDE" w14:textId="77777777" w:rsidR="00333F33" w:rsidRPr="00333F33" w:rsidRDefault="0075157D" w:rsidP="00333F33">
      <w:pPr>
        <w:numPr>
          <w:ilvl w:val="0"/>
          <w:numId w:val="1"/>
        </w:numPr>
        <w:tabs>
          <w:tab w:val="clear" w:pos="720"/>
        </w:tabs>
        <w:spacing w:before="100" w:beforeAutospacing="1"/>
        <w:rPr>
          <w:bCs/>
          <w:i/>
          <w:iCs/>
          <w:sz w:val="24"/>
          <w:szCs w:val="24"/>
          <w:lang w:val="en-AU" w:eastAsia="zh-CN"/>
        </w:rPr>
      </w:pPr>
      <w:hyperlink r:id="rId11" w:tgtFrame="_blank" w:history="1">
        <w:r w:rsidR="00333F33" w:rsidRPr="00333F33">
          <w:rPr>
            <w:rStyle w:val="Hyperlink"/>
            <w:b/>
            <w:bCs/>
            <w:i/>
            <w:iCs/>
            <w:sz w:val="24"/>
            <w:szCs w:val="24"/>
            <w:lang w:val="en-AU" w:eastAsia="zh-CN"/>
          </w:rPr>
          <w:t>Dr Ian Murray </w:t>
        </w:r>
      </w:hyperlink>
      <w:r w:rsidR="00333F33" w:rsidRPr="00333F33">
        <w:rPr>
          <w:bCs/>
          <w:i/>
          <w:iCs/>
          <w:sz w:val="24"/>
          <w:szCs w:val="24"/>
          <w:lang w:val="en-AU" w:eastAsia="zh-CN"/>
        </w:rPr>
        <w:t>– (Law School, University of Western Australia)</w:t>
      </w:r>
    </w:p>
    <w:p w14:paraId="187E225B" w14:textId="77777777" w:rsidR="00333F33" w:rsidRPr="00333F33" w:rsidRDefault="0075157D" w:rsidP="00333F33">
      <w:pPr>
        <w:numPr>
          <w:ilvl w:val="0"/>
          <w:numId w:val="1"/>
        </w:numPr>
        <w:tabs>
          <w:tab w:val="clear" w:pos="720"/>
        </w:tabs>
        <w:spacing w:before="100" w:beforeAutospacing="1"/>
        <w:rPr>
          <w:bCs/>
          <w:i/>
          <w:iCs/>
          <w:sz w:val="24"/>
          <w:szCs w:val="24"/>
          <w:lang w:val="en-AU" w:eastAsia="zh-CN"/>
        </w:rPr>
      </w:pPr>
      <w:hyperlink r:id="rId12" w:tgtFrame="_blank" w:history="1">
        <w:r w:rsidR="00333F33" w:rsidRPr="00333F33">
          <w:rPr>
            <w:rStyle w:val="Hyperlink"/>
            <w:b/>
            <w:bCs/>
            <w:i/>
            <w:iCs/>
            <w:sz w:val="24"/>
            <w:szCs w:val="24"/>
            <w:lang w:val="en-AU" w:eastAsia="zh-CN"/>
          </w:rPr>
          <w:t>Prof David Gilchrist</w:t>
        </w:r>
      </w:hyperlink>
      <w:r w:rsidR="00333F33" w:rsidRPr="00333F33">
        <w:rPr>
          <w:bCs/>
          <w:i/>
          <w:iCs/>
          <w:sz w:val="24"/>
          <w:szCs w:val="24"/>
          <w:lang w:val="en-AU" w:eastAsia="zh-CN"/>
        </w:rPr>
        <w:t> – (Business School, University of Western Australia) </w:t>
      </w:r>
    </w:p>
    <w:p w14:paraId="5C8C24DD" w14:textId="77777777" w:rsidR="00333F33" w:rsidRDefault="00333F33" w:rsidP="00F932BC">
      <w:pPr>
        <w:rPr>
          <w:b/>
          <w:bCs/>
          <w:sz w:val="24"/>
          <w:szCs w:val="24"/>
        </w:rPr>
      </w:pPr>
    </w:p>
    <w:p w14:paraId="2A90E984" w14:textId="5B761839" w:rsidR="00DF50EA" w:rsidRPr="00B17FF0" w:rsidRDefault="004B51D0" w:rsidP="00F932BC">
      <w:pPr>
        <w:rPr>
          <w:sz w:val="24"/>
          <w:szCs w:val="24"/>
        </w:rPr>
      </w:pPr>
      <w:r w:rsidRPr="00B17FF0">
        <w:rPr>
          <w:b/>
          <w:bCs/>
          <w:sz w:val="24"/>
          <w:szCs w:val="24"/>
        </w:rPr>
        <w:t xml:space="preserve">Guidelines for Contributors </w:t>
      </w:r>
    </w:p>
    <w:p w14:paraId="206C891E" w14:textId="7A3FC3F9" w:rsidR="00325281" w:rsidRDefault="00325281" w:rsidP="00F932BC">
      <w:pPr>
        <w:rPr>
          <w:sz w:val="24"/>
          <w:szCs w:val="24"/>
        </w:rPr>
      </w:pPr>
      <w:r>
        <w:rPr>
          <w:sz w:val="24"/>
          <w:szCs w:val="24"/>
        </w:rPr>
        <w:t>Explaining complex concepts concisely is prized and papers should be between 4,000 and 6,000 words in length.</w:t>
      </w:r>
    </w:p>
    <w:p w14:paraId="5005574A" w14:textId="77777777" w:rsidR="00325281" w:rsidRDefault="00325281" w:rsidP="00F932BC">
      <w:pPr>
        <w:rPr>
          <w:sz w:val="24"/>
          <w:szCs w:val="24"/>
        </w:rPr>
      </w:pPr>
    </w:p>
    <w:p w14:paraId="4872892C" w14:textId="4C832620" w:rsidR="00B17FF0" w:rsidRDefault="00333F33" w:rsidP="00F932BC">
      <w:pPr>
        <w:rPr>
          <w:sz w:val="24"/>
          <w:szCs w:val="24"/>
        </w:rPr>
      </w:pPr>
      <w:r>
        <w:rPr>
          <w:sz w:val="24"/>
          <w:szCs w:val="24"/>
        </w:rPr>
        <w:t xml:space="preserve">More details are provided </w:t>
      </w:r>
      <w:r w:rsidR="006E035E">
        <w:rPr>
          <w:sz w:val="24"/>
          <w:szCs w:val="24"/>
        </w:rPr>
        <w:t xml:space="preserve">on the </w:t>
      </w:r>
      <w:r w:rsidR="006E035E" w:rsidRPr="006E035E">
        <w:rPr>
          <w:i/>
          <w:sz w:val="24"/>
          <w:szCs w:val="24"/>
        </w:rPr>
        <w:t>Review’s</w:t>
      </w:r>
      <w:r w:rsidR="006E035E">
        <w:rPr>
          <w:sz w:val="24"/>
          <w:szCs w:val="24"/>
        </w:rPr>
        <w:t xml:space="preserve"> website</w:t>
      </w:r>
      <w:r w:rsidR="00325281">
        <w:rPr>
          <w:sz w:val="24"/>
          <w:szCs w:val="24"/>
        </w:rPr>
        <w:t xml:space="preserve">: </w:t>
      </w:r>
      <w:hyperlink r:id="rId13" w:history="1">
        <w:r w:rsidR="00325281" w:rsidRPr="00B17FF0">
          <w:rPr>
            <w:rStyle w:val="Hyperlink"/>
            <w:sz w:val="24"/>
            <w:szCs w:val="24"/>
          </w:rPr>
          <w:t>http://www.anztsr.org.au/third-sector-review/</w:t>
        </w:r>
      </w:hyperlink>
      <w:r w:rsidR="006E035E">
        <w:rPr>
          <w:sz w:val="24"/>
          <w:szCs w:val="24"/>
        </w:rPr>
        <w:t>. In brief, p</w:t>
      </w:r>
      <w:r w:rsidR="004B51D0" w:rsidRPr="00B17FF0">
        <w:rPr>
          <w:sz w:val="24"/>
          <w:szCs w:val="24"/>
        </w:rPr>
        <w:t xml:space="preserve">apers should be written in a jargon-free, non-technical style accessible to managers, workers and board members of third sector profit organisations, and to academic researchers, teachers and students from a variety of disciplines. Papers are subject to rigorous peer review, normally by two independent reviewers. </w:t>
      </w:r>
    </w:p>
    <w:sectPr w:rsidR="00B17FF0" w:rsidSect="007A38A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B6C7B" w14:textId="77777777" w:rsidR="00D07194" w:rsidRDefault="00D07194">
      <w:r>
        <w:separator/>
      </w:r>
    </w:p>
  </w:endnote>
  <w:endnote w:type="continuationSeparator" w:id="0">
    <w:p w14:paraId="02EB378F" w14:textId="77777777" w:rsidR="00D07194" w:rsidRDefault="00D07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Playbill"/>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altName w:val="Arial Rounded MT Bold"/>
    <w:panose1 w:val="020F0502020204030204"/>
    <w:charset w:val="00"/>
    <w:family w:val="swiss"/>
    <w:pitch w:val="variable"/>
    <w:sig w:usb0="E0002AFF" w:usb1="C000247B"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5A809" w14:textId="77777777" w:rsidR="00D07194" w:rsidRDefault="00D07194">
      <w:r>
        <w:separator/>
      </w:r>
    </w:p>
  </w:footnote>
  <w:footnote w:type="continuationSeparator" w:id="0">
    <w:p w14:paraId="5A39BBE3" w14:textId="77777777" w:rsidR="00D07194" w:rsidRDefault="00D07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1272"/>
    <w:multiLevelType w:val="hybridMultilevel"/>
    <w:tmpl w:val="B8DE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B7D57"/>
    <w:multiLevelType w:val="hybridMultilevel"/>
    <w:tmpl w:val="911C7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A4066"/>
    <w:multiLevelType w:val="hybridMultilevel"/>
    <w:tmpl w:val="6F6C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41280"/>
    <w:multiLevelType w:val="multilevel"/>
    <w:tmpl w:val="879C0744"/>
    <w:lvl w:ilvl="0">
      <w:start w:val="1"/>
      <w:numFmt w:val="decimal"/>
      <w:lvlText w:val="%1."/>
      <w:lvlJc w:val="left"/>
      <w:pPr>
        <w:tabs>
          <w:tab w:val="num" w:pos="360"/>
        </w:tabs>
        <w:ind w:left="360" w:hanging="360"/>
      </w:pPr>
      <w:rPr>
        <w:rFonts w:hint="default"/>
        <w:sz w:val="24"/>
      </w:rPr>
    </w:lvl>
    <w:lvl w:ilvl="1">
      <w:start w:val="1"/>
      <w:numFmt w:val="decimal"/>
      <w:lvlRestart w:val="0"/>
      <w:lvlText w:val="%1.%2."/>
      <w:lvlJc w:val="left"/>
      <w:pPr>
        <w:tabs>
          <w:tab w:val="num" w:pos="792"/>
        </w:tabs>
        <w:ind w:left="792" w:hanging="432"/>
      </w:pPr>
      <w:rPr>
        <w:rFonts w:ascii="Times New Roman" w:hAnsi="Times New Roman" w:hint="default"/>
        <w:sz w:val="24"/>
      </w:rPr>
    </w:lvl>
    <w:lvl w:ilvl="2">
      <w:start w:val="1"/>
      <w:numFmt w:val="decimal"/>
      <w:lvlText w:val="%1.%2.%3."/>
      <w:lvlJc w:val="left"/>
      <w:pPr>
        <w:tabs>
          <w:tab w:val="num" w:pos="1440"/>
        </w:tabs>
        <w:ind w:left="1224" w:hanging="504"/>
      </w:pPr>
      <w:rPr>
        <w:rFonts w:ascii="Times New Roman" w:hAnsi="Times New Roman" w:hint="default"/>
        <w:i/>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0DC46B9"/>
    <w:multiLevelType w:val="hybridMultilevel"/>
    <w:tmpl w:val="BDFAD7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6956CB3"/>
    <w:multiLevelType w:val="hybridMultilevel"/>
    <w:tmpl w:val="0304ED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DF47849"/>
    <w:multiLevelType w:val="multilevel"/>
    <w:tmpl w:val="F63AD3B8"/>
    <w:lvl w:ilvl="0">
      <w:start w:val="1"/>
      <w:numFmt w:val="decimal"/>
      <w:lvlText w:val="%1."/>
      <w:lvlJc w:val="left"/>
      <w:pPr>
        <w:tabs>
          <w:tab w:val="num" w:pos="-360"/>
        </w:tabs>
        <w:ind w:left="-360" w:hanging="360"/>
      </w:pPr>
      <w:rPr>
        <w:rFonts w:ascii="Times New Roman" w:hAnsi="Times New Roman" w:hint="default"/>
        <w:b/>
        <w:i w:val="0"/>
        <w:sz w:val="32"/>
      </w:rPr>
    </w:lvl>
    <w:lvl w:ilvl="1">
      <w:start w:val="1"/>
      <w:numFmt w:val="decimal"/>
      <w:lvlRestart w:val="0"/>
      <w:lvlText w:val="%1.%2."/>
      <w:lvlJc w:val="left"/>
      <w:pPr>
        <w:tabs>
          <w:tab w:val="num" w:pos="357"/>
        </w:tabs>
        <w:ind w:left="357" w:hanging="357"/>
      </w:pPr>
      <w:rPr>
        <w:rFonts w:ascii="Times New Roman" w:hAnsi="Times New Roman" w:hint="default"/>
        <w:b/>
        <w:i w:val="0"/>
        <w:sz w:val="28"/>
      </w:rPr>
    </w:lvl>
    <w:lvl w:ilvl="2">
      <w:start w:val="1"/>
      <w:numFmt w:val="decimal"/>
      <w:lvlText w:val="%1.%2.%3."/>
      <w:lvlJc w:val="left"/>
      <w:pPr>
        <w:tabs>
          <w:tab w:val="num" w:pos="720"/>
        </w:tabs>
        <w:ind w:left="0" w:firstLine="0"/>
      </w:pPr>
      <w:rPr>
        <w:rFonts w:ascii="Times New Roman" w:hAnsi="Times New Roman" w:hint="default"/>
        <w:b/>
        <w:i/>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2088" w:hanging="648"/>
      </w:pPr>
      <w:rPr>
        <w:rFonts w:cs="Microsoft Sans Serif"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7" w15:restartNumberingAfterBreak="0">
    <w:nsid w:val="45661862"/>
    <w:multiLevelType w:val="hybridMultilevel"/>
    <w:tmpl w:val="1B3E5B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8202D06"/>
    <w:multiLevelType w:val="multilevel"/>
    <w:tmpl w:val="AC780A66"/>
    <w:lvl w:ilvl="0">
      <w:start w:val="1"/>
      <w:numFmt w:val="decimal"/>
      <w:pStyle w:val="Heading1"/>
      <w:lvlText w:val="%1."/>
      <w:lvlJc w:val="left"/>
      <w:pPr>
        <w:tabs>
          <w:tab w:val="num" w:pos="3960"/>
        </w:tabs>
        <w:ind w:left="3960" w:hanging="360"/>
      </w:pPr>
      <w:rPr>
        <w:rFonts w:hint="default"/>
        <w:sz w:val="24"/>
      </w:rPr>
    </w:lvl>
    <w:lvl w:ilvl="1">
      <w:start w:val="1"/>
      <w:numFmt w:val="decimal"/>
      <w:lvlRestart w:val="0"/>
      <w:pStyle w:val="Heading2"/>
      <w:lvlText w:val="%1.%2."/>
      <w:lvlJc w:val="left"/>
      <w:pPr>
        <w:tabs>
          <w:tab w:val="num" w:pos="4392"/>
        </w:tabs>
        <w:ind w:left="4392" w:hanging="72"/>
      </w:pPr>
      <w:rPr>
        <w:rFonts w:ascii="Times New Roman" w:hAnsi="Times New Roman" w:hint="default"/>
        <w:sz w:val="24"/>
      </w:rPr>
    </w:lvl>
    <w:lvl w:ilvl="2">
      <w:start w:val="1"/>
      <w:numFmt w:val="decimal"/>
      <w:pStyle w:val="Heading3"/>
      <w:lvlText w:val="%1.%2.%3."/>
      <w:lvlJc w:val="left"/>
      <w:pPr>
        <w:tabs>
          <w:tab w:val="num" w:pos="4320"/>
        </w:tabs>
        <w:ind w:left="4824" w:hanging="504"/>
      </w:pPr>
      <w:rPr>
        <w:rFonts w:ascii="Times New Roman" w:hAnsi="Times New Roman" w:hint="default"/>
        <w:i/>
        <w:sz w:val="24"/>
      </w:rPr>
    </w:lvl>
    <w:lvl w:ilvl="3">
      <w:start w:val="1"/>
      <w:numFmt w:val="decimal"/>
      <w:pStyle w:val="Heading4"/>
      <w:lvlText w:val="%1.%2.%3.%4."/>
      <w:lvlJc w:val="left"/>
      <w:pPr>
        <w:tabs>
          <w:tab w:val="num" w:pos="6480"/>
        </w:tabs>
        <w:ind w:left="6408" w:hanging="648"/>
      </w:pPr>
      <w:rPr>
        <w:rFonts w:hint="default"/>
      </w:rPr>
    </w:lvl>
    <w:lvl w:ilvl="4">
      <w:start w:val="1"/>
      <w:numFmt w:val="decimal"/>
      <w:lvlText w:val="%1.%2.%3.%4.%5."/>
      <w:lvlJc w:val="left"/>
      <w:pPr>
        <w:tabs>
          <w:tab w:val="num" w:pos="6120"/>
        </w:tabs>
        <w:ind w:left="5832" w:hanging="792"/>
      </w:pPr>
      <w:rPr>
        <w:rFonts w:hint="default"/>
      </w:rPr>
    </w:lvl>
    <w:lvl w:ilvl="5">
      <w:start w:val="1"/>
      <w:numFmt w:val="decimal"/>
      <w:lvlText w:val="%1.%2.%3.%4.%5.%6."/>
      <w:lvlJc w:val="left"/>
      <w:pPr>
        <w:tabs>
          <w:tab w:val="num" w:pos="6480"/>
        </w:tabs>
        <w:ind w:left="6336" w:hanging="936"/>
      </w:pPr>
      <w:rPr>
        <w:rFonts w:hint="default"/>
      </w:rPr>
    </w:lvl>
    <w:lvl w:ilvl="6">
      <w:start w:val="1"/>
      <w:numFmt w:val="decimal"/>
      <w:lvlText w:val="%1.%2.%3.%4.%5.%6.%7."/>
      <w:lvlJc w:val="left"/>
      <w:pPr>
        <w:tabs>
          <w:tab w:val="num" w:pos="7200"/>
        </w:tabs>
        <w:ind w:left="6840" w:hanging="1080"/>
      </w:pPr>
      <w:rPr>
        <w:rFonts w:hint="default"/>
      </w:rPr>
    </w:lvl>
    <w:lvl w:ilvl="7">
      <w:start w:val="1"/>
      <w:numFmt w:val="decimal"/>
      <w:lvlText w:val="%1.%2.%3.%4.%5.%6.%7.%8."/>
      <w:lvlJc w:val="left"/>
      <w:pPr>
        <w:tabs>
          <w:tab w:val="num" w:pos="7560"/>
        </w:tabs>
        <w:ind w:left="7344" w:hanging="1224"/>
      </w:pPr>
      <w:rPr>
        <w:rFonts w:hint="default"/>
      </w:rPr>
    </w:lvl>
    <w:lvl w:ilvl="8">
      <w:start w:val="1"/>
      <w:numFmt w:val="decimal"/>
      <w:lvlText w:val="%1.%2.%3.%4.%5.%6.%7.%8.%9."/>
      <w:lvlJc w:val="left"/>
      <w:pPr>
        <w:tabs>
          <w:tab w:val="num" w:pos="8280"/>
        </w:tabs>
        <w:ind w:left="7920" w:hanging="1440"/>
      </w:pPr>
      <w:rPr>
        <w:rFonts w:hint="default"/>
      </w:rPr>
    </w:lvl>
  </w:abstractNum>
  <w:abstractNum w:abstractNumId="9" w15:restartNumberingAfterBreak="0">
    <w:nsid w:val="482D26FD"/>
    <w:multiLevelType w:val="hybridMultilevel"/>
    <w:tmpl w:val="E04433EC"/>
    <w:lvl w:ilvl="0" w:tplc="5444443E">
      <w:start w:val="1"/>
      <w:numFmt w:val="bullet"/>
      <w:pStyle w:val="bulletsinglespace"/>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BC4280"/>
    <w:multiLevelType w:val="hybridMultilevel"/>
    <w:tmpl w:val="E5687AA8"/>
    <w:lvl w:ilvl="0" w:tplc="6C22D2CC">
      <w:start w:val="1"/>
      <w:numFmt w:val="lowerRoman"/>
      <w:pStyle w:val="Styleromannumbered"/>
      <w:lvlText w:val="(%1)"/>
      <w:lvlJc w:val="right"/>
      <w:pPr>
        <w:tabs>
          <w:tab w:val="num" w:pos="720"/>
        </w:tabs>
        <w:ind w:left="720" w:hanging="15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5CD5F8D"/>
    <w:multiLevelType w:val="multilevel"/>
    <w:tmpl w:val="D26E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0F468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A9E7F1C"/>
    <w:multiLevelType w:val="hybridMultilevel"/>
    <w:tmpl w:val="38EE66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EC96738"/>
    <w:multiLevelType w:val="multilevel"/>
    <w:tmpl w:val="24928172"/>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15" w15:restartNumberingAfterBreak="0">
    <w:nsid w:val="73223723"/>
    <w:multiLevelType w:val="hybridMultilevel"/>
    <w:tmpl w:val="E292A8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14"/>
  </w:num>
  <w:num w:numId="5">
    <w:abstractNumId w:val="6"/>
  </w:num>
  <w:num w:numId="6">
    <w:abstractNumId w:val="6"/>
  </w:num>
  <w:num w:numId="7">
    <w:abstractNumId w:val="6"/>
  </w:num>
  <w:num w:numId="8">
    <w:abstractNumId w:val="6"/>
  </w:num>
  <w:num w:numId="9">
    <w:abstractNumId w:val="6"/>
  </w:num>
  <w:num w:numId="10">
    <w:abstractNumId w:val="6"/>
  </w:num>
  <w:num w:numId="11">
    <w:abstractNumId w:val="3"/>
  </w:num>
  <w:num w:numId="12">
    <w:abstractNumId w:val="8"/>
  </w:num>
  <w:num w:numId="13">
    <w:abstractNumId w:val="8"/>
  </w:num>
  <w:num w:numId="14">
    <w:abstractNumId w:val="8"/>
  </w:num>
  <w:num w:numId="15">
    <w:abstractNumId w:val="12"/>
  </w:num>
  <w:num w:numId="16">
    <w:abstractNumId w:val="15"/>
  </w:num>
  <w:num w:numId="17">
    <w:abstractNumId w:val="5"/>
  </w:num>
  <w:num w:numId="18">
    <w:abstractNumId w:val="4"/>
  </w:num>
  <w:num w:numId="19">
    <w:abstractNumId w:val="7"/>
  </w:num>
  <w:num w:numId="20">
    <w:abstractNumId w:val="13"/>
  </w:num>
  <w:num w:numId="21">
    <w:abstractNumId w:val="11"/>
  </w:num>
  <w:num w:numId="22">
    <w:abstractNumId w:val="1"/>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3B8"/>
    <w:rsid w:val="000123B8"/>
    <w:rsid w:val="000B4594"/>
    <w:rsid w:val="0015068A"/>
    <w:rsid w:val="00157762"/>
    <w:rsid w:val="002413C1"/>
    <w:rsid w:val="00256A68"/>
    <w:rsid w:val="002E7C69"/>
    <w:rsid w:val="00325281"/>
    <w:rsid w:val="00333F33"/>
    <w:rsid w:val="003A5F3F"/>
    <w:rsid w:val="003D5A07"/>
    <w:rsid w:val="004570EE"/>
    <w:rsid w:val="004B51D0"/>
    <w:rsid w:val="004D69C7"/>
    <w:rsid w:val="00583CB3"/>
    <w:rsid w:val="005964D4"/>
    <w:rsid w:val="005E1090"/>
    <w:rsid w:val="006E035E"/>
    <w:rsid w:val="00730C53"/>
    <w:rsid w:val="00755787"/>
    <w:rsid w:val="007F63A1"/>
    <w:rsid w:val="007F78BB"/>
    <w:rsid w:val="00964468"/>
    <w:rsid w:val="009710A0"/>
    <w:rsid w:val="009D57F0"/>
    <w:rsid w:val="00A16C5B"/>
    <w:rsid w:val="00A70488"/>
    <w:rsid w:val="00A850BE"/>
    <w:rsid w:val="00B17FF0"/>
    <w:rsid w:val="00B270A8"/>
    <w:rsid w:val="00C44714"/>
    <w:rsid w:val="00C7221E"/>
    <w:rsid w:val="00D07194"/>
    <w:rsid w:val="00D100CF"/>
    <w:rsid w:val="00D71A2D"/>
    <w:rsid w:val="00DA0C13"/>
    <w:rsid w:val="00DB7A81"/>
    <w:rsid w:val="00DF50EA"/>
    <w:rsid w:val="00E50545"/>
    <w:rsid w:val="00E7539B"/>
    <w:rsid w:val="00E755AA"/>
    <w:rsid w:val="00F932BC"/>
    <w:rsid w:val="00FD1761"/>
    <w:rsid w:val="3A33F2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8B79C"/>
  <w15:chartTrackingRefBased/>
  <w15:docId w15:val="{57C5D589-9504-4C6C-961B-9DE65C49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NZ"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3B8"/>
    <w:rPr>
      <w:rFonts w:eastAsia="Times New Roman"/>
      <w:lang w:val="en-GB"/>
    </w:rPr>
  </w:style>
  <w:style w:type="paragraph" w:styleId="Heading1">
    <w:name w:val="heading 1"/>
    <w:basedOn w:val="Normal"/>
    <w:next w:val="Normal"/>
    <w:qFormat/>
    <w:rsid w:val="00A16C5B"/>
    <w:pPr>
      <w:keepNext/>
      <w:numPr>
        <w:numId w:val="14"/>
      </w:numPr>
      <w:spacing w:before="240" w:after="60"/>
      <w:jc w:val="center"/>
      <w:outlineLvl w:val="0"/>
    </w:pPr>
    <w:rPr>
      <w:rFonts w:cs="Arial"/>
      <w:b/>
      <w:bCs/>
      <w:kern w:val="32"/>
      <w:sz w:val="32"/>
      <w:szCs w:val="32"/>
      <w:lang w:val="en-US"/>
    </w:rPr>
  </w:style>
  <w:style w:type="paragraph" w:styleId="Heading2">
    <w:name w:val="heading 2"/>
    <w:basedOn w:val="Normal"/>
    <w:next w:val="Normal"/>
    <w:qFormat/>
    <w:rsid w:val="00A16C5B"/>
    <w:pPr>
      <w:keepNext/>
      <w:numPr>
        <w:ilvl w:val="1"/>
        <w:numId w:val="14"/>
      </w:numPr>
      <w:tabs>
        <w:tab w:val="left" w:pos="709"/>
      </w:tabs>
      <w:spacing w:before="240" w:after="60"/>
      <w:outlineLvl w:val="1"/>
    </w:pPr>
    <w:rPr>
      <w:rFonts w:cs="Arial"/>
      <w:b/>
      <w:bCs/>
      <w:iCs/>
      <w:szCs w:val="28"/>
      <w:lang w:val="en-AU"/>
    </w:rPr>
  </w:style>
  <w:style w:type="paragraph" w:styleId="Heading3">
    <w:name w:val="heading 3"/>
    <w:basedOn w:val="Normal"/>
    <w:next w:val="Normal"/>
    <w:qFormat/>
    <w:rsid w:val="00A16C5B"/>
    <w:pPr>
      <w:keepNext/>
      <w:numPr>
        <w:ilvl w:val="2"/>
        <w:numId w:val="14"/>
      </w:numPr>
      <w:tabs>
        <w:tab w:val="left" w:pos="1134"/>
      </w:tabs>
      <w:spacing w:before="240" w:after="60"/>
      <w:outlineLvl w:val="2"/>
    </w:pPr>
    <w:rPr>
      <w:rFonts w:cs="Arial"/>
      <w:b/>
      <w:bCs/>
      <w:i/>
      <w:szCs w:val="26"/>
      <w:lang w:val="en-AU"/>
    </w:rPr>
  </w:style>
  <w:style w:type="paragraph" w:styleId="Heading4">
    <w:name w:val="heading 4"/>
    <w:basedOn w:val="Normal"/>
    <w:next w:val="Normal"/>
    <w:qFormat/>
    <w:rsid w:val="00A16C5B"/>
    <w:pPr>
      <w:keepNext/>
      <w:numPr>
        <w:ilvl w:val="3"/>
        <w:numId w:val="14"/>
      </w:numPr>
      <w:spacing w:before="240" w:after="60"/>
      <w:jc w:val="center"/>
      <w:outlineLvl w:val="3"/>
    </w:pPr>
    <w:rPr>
      <w:bCs/>
      <w:i/>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inglespace">
    <w:name w:val="bullet single space"/>
    <w:basedOn w:val="Normal"/>
    <w:rsid w:val="00E755AA"/>
    <w:pPr>
      <w:numPr>
        <w:numId w:val="1"/>
      </w:numPr>
      <w:jc w:val="both"/>
    </w:pPr>
    <w:rPr>
      <w:lang w:val="en-US"/>
    </w:rPr>
  </w:style>
  <w:style w:type="paragraph" w:customStyle="1" w:styleId="Styleromannumbered">
    <w:name w:val="Style roman numbered"/>
    <w:basedOn w:val="List"/>
    <w:rsid w:val="00D100CF"/>
    <w:pPr>
      <w:numPr>
        <w:numId w:val="2"/>
      </w:numPr>
      <w:jc w:val="both"/>
    </w:pPr>
    <w:rPr>
      <w:iCs/>
      <w:lang w:val="en-US"/>
    </w:rPr>
  </w:style>
  <w:style w:type="paragraph" w:styleId="List">
    <w:name w:val="List"/>
    <w:basedOn w:val="Normal"/>
    <w:rsid w:val="00D100CF"/>
    <w:pPr>
      <w:ind w:left="283" w:hanging="283"/>
    </w:pPr>
  </w:style>
  <w:style w:type="table" w:styleId="TableGrid">
    <w:name w:val="Table Grid"/>
    <w:basedOn w:val="TableNormal"/>
    <w:rsid w:val="00DA0C13"/>
    <w:pPr>
      <w:spacing w:after="120"/>
    </w:pPr>
    <w:tblPr/>
  </w:style>
  <w:style w:type="paragraph" w:styleId="BodyText">
    <w:name w:val="Body Text"/>
    <w:basedOn w:val="Normal"/>
    <w:rsid w:val="002413C1"/>
    <w:pPr>
      <w:spacing w:after="240" w:line="480" w:lineRule="auto"/>
      <w:jc w:val="both"/>
    </w:pPr>
    <w:rPr>
      <w:lang w:val="en-NZ"/>
    </w:rPr>
  </w:style>
  <w:style w:type="paragraph" w:styleId="FootnoteText">
    <w:name w:val="footnote text"/>
    <w:basedOn w:val="Normal"/>
    <w:link w:val="FootnoteTextChar"/>
    <w:uiPriority w:val="99"/>
    <w:rsid w:val="005E1090"/>
    <w:pPr>
      <w:jc w:val="both"/>
    </w:pPr>
    <w:rPr>
      <w:lang w:val="en-US"/>
    </w:rPr>
  </w:style>
  <w:style w:type="paragraph" w:styleId="Caption">
    <w:name w:val="caption"/>
    <w:basedOn w:val="Normal"/>
    <w:next w:val="Normal"/>
    <w:qFormat/>
    <w:rsid w:val="009710A0"/>
    <w:pPr>
      <w:spacing w:before="120" w:after="120"/>
      <w:jc w:val="center"/>
    </w:pPr>
    <w:rPr>
      <w:b/>
      <w:bCs/>
      <w:lang w:val="en-US"/>
    </w:rPr>
  </w:style>
  <w:style w:type="character" w:styleId="FootnoteReference">
    <w:name w:val="footnote reference"/>
    <w:basedOn w:val="DefaultParagraphFont"/>
    <w:rsid w:val="004570EE"/>
    <w:rPr>
      <w:rFonts w:ascii="Times New Roman" w:hAnsi="Times New Roman"/>
      <w:dstrike w:val="0"/>
      <w:sz w:val="20"/>
      <w:szCs w:val="20"/>
      <w:vertAlign w:val="superscript"/>
    </w:rPr>
  </w:style>
  <w:style w:type="paragraph" w:styleId="Footer">
    <w:name w:val="footer"/>
    <w:basedOn w:val="Normal"/>
    <w:link w:val="FooterChar"/>
    <w:rsid w:val="000123B8"/>
    <w:pPr>
      <w:tabs>
        <w:tab w:val="center" w:pos="4320"/>
        <w:tab w:val="right" w:pos="8640"/>
      </w:tabs>
    </w:pPr>
  </w:style>
  <w:style w:type="character" w:customStyle="1" w:styleId="FooterChar">
    <w:name w:val="Footer Char"/>
    <w:basedOn w:val="DefaultParagraphFont"/>
    <w:link w:val="Footer"/>
    <w:rsid w:val="000123B8"/>
    <w:rPr>
      <w:rFonts w:eastAsia="Times New Roman"/>
      <w:lang w:val="en-GB"/>
    </w:rPr>
  </w:style>
  <w:style w:type="paragraph" w:styleId="ListParagraph">
    <w:name w:val="List Paragraph"/>
    <w:basedOn w:val="Normal"/>
    <w:uiPriority w:val="34"/>
    <w:qFormat/>
    <w:rsid w:val="000123B8"/>
    <w:pPr>
      <w:spacing w:after="200" w:line="276" w:lineRule="auto"/>
      <w:ind w:left="720"/>
      <w:contextualSpacing/>
    </w:pPr>
    <w:rPr>
      <w:rFonts w:ascii="Calibri" w:hAnsi="Calibri"/>
      <w:sz w:val="22"/>
      <w:szCs w:val="22"/>
      <w:lang w:val="en-NZ" w:eastAsia="zh-CN"/>
    </w:rPr>
  </w:style>
  <w:style w:type="character" w:styleId="Strong">
    <w:name w:val="Strong"/>
    <w:basedOn w:val="DefaultParagraphFont"/>
    <w:uiPriority w:val="22"/>
    <w:qFormat/>
    <w:rsid w:val="000123B8"/>
    <w:rPr>
      <w:b/>
      <w:bCs/>
    </w:rPr>
  </w:style>
  <w:style w:type="character" w:customStyle="1" w:styleId="Title1">
    <w:name w:val="Title1"/>
    <w:basedOn w:val="DefaultParagraphFont"/>
    <w:rsid w:val="000123B8"/>
  </w:style>
  <w:style w:type="character" w:customStyle="1" w:styleId="fn">
    <w:name w:val="fn"/>
    <w:basedOn w:val="DefaultParagraphFont"/>
    <w:rsid w:val="000123B8"/>
  </w:style>
  <w:style w:type="character" w:customStyle="1" w:styleId="org">
    <w:name w:val="org"/>
    <w:basedOn w:val="DefaultParagraphFont"/>
    <w:rsid w:val="000123B8"/>
  </w:style>
  <w:style w:type="character" w:styleId="Hyperlink">
    <w:name w:val="Hyperlink"/>
    <w:basedOn w:val="DefaultParagraphFont"/>
    <w:uiPriority w:val="99"/>
    <w:unhideWhenUsed/>
    <w:rsid w:val="000123B8"/>
    <w:rPr>
      <w:color w:val="0000FF"/>
      <w:u w:val="single"/>
    </w:rPr>
  </w:style>
  <w:style w:type="paragraph" w:styleId="Header">
    <w:name w:val="header"/>
    <w:basedOn w:val="Normal"/>
    <w:link w:val="HeaderChar"/>
    <w:rsid w:val="00E7539B"/>
    <w:pPr>
      <w:tabs>
        <w:tab w:val="center" w:pos="4513"/>
        <w:tab w:val="right" w:pos="9026"/>
      </w:tabs>
    </w:pPr>
  </w:style>
  <w:style w:type="character" w:customStyle="1" w:styleId="HeaderChar">
    <w:name w:val="Header Char"/>
    <w:basedOn w:val="DefaultParagraphFont"/>
    <w:link w:val="Header"/>
    <w:rsid w:val="00E7539B"/>
    <w:rPr>
      <w:rFonts w:eastAsia="Times New Roman"/>
      <w:lang w:val="en-GB"/>
    </w:rPr>
  </w:style>
  <w:style w:type="paragraph" w:styleId="NormalWeb">
    <w:name w:val="Normal (Web)"/>
    <w:basedOn w:val="Normal"/>
    <w:uiPriority w:val="99"/>
    <w:unhideWhenUsed/>
    <w:rsid w:val="002E7C69"/>
    <w:pPr>
      <w:spacing w:before="100" w:beforeAutospacing="1" w:after="100" w:afterAutospacing="1"/>
    </w:pPr>
    <w:rPr>
      <w:sz w:val="24"/>
      <w:szCs w:val="24"/>
      <w:lang w:val="en-AU" w:eastAsia="en-AU"/>
    </w:rPr>
  </w:style>
  <w:style w:type="character" w:customStyle="1" w:styleId="FootnoteTextChar">
    <w:name w:val="Footnote Text Char"/>
    <w:basedOn w:val="DefaultParagraphFont"/>
    <w:link w:val="FootnoteText"/>
    <w:uiPriority w:val="99"/>
    <w:rsid w:val="00DF50EA"/>
    <w:rPr>
      <w:rFonts w:eastAsia="Times New Roman"/>
      <w:lang w:val="en-US"/>
    </w:rPr>
  </w:style>
  <w:style w:type="paragraph" w:styleId="BalloonText">
    <w:name w:val="Balloon Text"/>
    <w:basedOn w:val="Normal"/>
    <w:link w:val="BalloonTextChar"/>
    <w:rsid w:val="00A70488"/>
    <w:rPr>
      <w:rFonts w:ascii="Segoe UI" w:hAnsi="Segoe UI" w:cs="Segoe UI"/>
      <w:sz w:val="18"/>
      <w:szCs w:val="18"/>
    </w:rPr>
  </w:style>
  <w:style w:type="character" w:customStyle="1" w:styleId="BalloonTextChar">
    <w:name w:val="Balloon Text Char"/>
    <w:basedOn w:val="DefaultParagraphFont"/>
    <w:link w:val="BalloonText"/>
    <w:rsid w:val="00A70488"/>
    <w:rPr>
      <w:rFonts w:ascii="Segoe UI" w:eastAsia="Times New Roman" w:hAnsi="Segoe UI" w:cs="Segoe UI"/>
      <w:sz w:val="18"/>
      <w:szCs w:val="18"/>
      <w:lang w:val="en-GB"/>
    </w:rPr>
  </w:style>
  <w:style w:type="character" w:styleId="FollowedHyperlink">
    <w:name w:val="FollowedHyperlink"/>
    <w:basedOn w:val="DefaultParagraphFont"/>
    <w:rsid w:val="00333F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9095">
      <w:bodyDiv w:val="1"/>
      <w:marLeft w:val="0"/>
      <w:marRight w:val="0"/>
      <w:marTop w:val="0"/>
      <w:marBottom w:val="0"/>
      <w:divBdr>
        <w:top w:val="none" w:sz="0" w:space="0" w:color="auto"/>
        <w:left w:val="none" w:sz="0" w:space="0" w:color="auto"/>
        <w:bottom w:val="none" w:sz="0" w:space="0" w:color="auto"/>
        <w:right w:val="none" w:sz="0" w:space="0" w:color="auto"/>
      </w:divBdr>
    </w:div>
    <w:div w:id="619455189">
      <w:bodyDiv w:val="1"/>
      <w:marLeft w:val="0"/>
      <w:marRight w:val="0"/>
      <w:marTop w:val="0"/>
      <w:marBottom w:val="0"/>
      <w:divBdr>
        <w:top w:val="none" w:sz="0" w:space="0" w:color="auto"/>
        <w:left w:val="none" w:sz="0" w:space="0" w:color="auto"/>
        <w:bottom w:val="none" w:sz="0" w:space="0" w:color="auto"/>
        <w:right w:val="none" w:sz="0" w:space="0" w:color="auto"/>
      </w:divBdr>
    </w:div>
    <w:div w:id="701175179">
      <w:bodyDiv w:val="1"/>
      <w:marLeft w:val="0"/>
      <w:marRight w:val="0"/>
      <w:marTop w:val="0"/>
      <w:marBottom w:val="0"/>
      <w:divBdr>
        <w:top w:val="none" w:sz="0" w:space="0" w:color="auto"/>
        <w:left w:val="none" w:sz="0" w:space="0" w:color="auto"/>
        <w:bottom w:val="none" w:sz="0" w:space="0" w:color="auto"/>
        <w:right w:val="none" w:sz="0" w:space="0" w:color="auto"/>
      </w:divBdr>
    </w:div>
    <w:div w:id="1042705883">
      <w:bodyDiv w:val="1"/>
      <w:marLeft w:val="0"/>
      <w:marRight w:val="0"/>
      <w:marTop w:val="0"/>
      <w:marBottom w:val="0"/>
      <w:divBdr>
        <w:top w:val="none" w:sz="0" w:space="0" w:color="auto"/>
        <w:left w:val="none" w:sz="0" w:space="0" w:color="auto"/>
        <w:bottom w:val="none" w:sz="0" w:space="0" w:color="auto"/>
        <w:right w:val="none" w:sz="0" w:space="0" w:color="auto"/>
      </w:divBdr>
    </w:div>
    <w:div w:id="172143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or@anztsr.org.au" TargetMode="External"/><Relationship Id="rId13" Type="http://schemas.openxmlformats.org/officeDocument/2006/relationships/hyperlink" Target="http://www.anztsr.org.au/third-sector-review/"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research-repository.uwa.edu.au/en/persons/david-gilchr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repository.uwa.edu.au/en/persons/ian-murray-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esearch-repository.uwa.edu.au/en/persons/fiona-mcgaughey" TargetMode="External"/><Relationship Id="rId4" Type="http://schemas.openxmlformats.org/officeDocument/2006/relationships/webSettings" Target="webSettings.xml"/><Relationship Id="rId9" Type="http://schemas.openxmlformats.org/officeDocument/2006/relationships/hyperlink" Target="http://www.anztsr.org.au/third-sector-revie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3211</Characters>
  <Application>Microsoft Office Word</Application>
  <DocSecurity>0</DocSecurity>
  <Lines>59</Lines>
  <Paragraphs>22</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Cordery</dc:creator>
  <cp:keywords/>
  <dc:description/>
  <cp:lastModifiedBy>Ian Murray</cp:lastModifiedBy>
  <cp:revision>2</cp:revision>
  <cp:lastPrinted>2017-11-28T09:37:00Z</cp:lastPrinted>
  <dcterms:created xsi:type="dcterms:W3CDTF">2020-07-31T00:40:00Z</dcterms:created>
  <dcterms:modified xsi:type="dcterms:W3CDTF">2020-07-31T00:40:00Z</dcterms:modified>
</cp:coreProperties>
</file>